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977" w:rsidRPr="00817977" w:rsidRDefault="00817977" w:rsidP="00817977">
      <w:pPr>
        <w:widowControl/>
        <w:spacing w:before="100" w:beforeAutospacing="1" w:after="100" w:afterAutospacing="1"/>
        <w:jc w:val="center"/>
        <w:outlineLvl w:val="1"/>
        <w:rPr>
          <w:rFonts w:ascii="宋体" w:eastAsia="宋体" w:hAnsi="宋体" w:cs="宋体"/>
          <w:b/>
          <w:bCs/>
          <w:kern w:val="0"/>
          <w:sz w:val="36"/>
          <w:szCs w:val="36"/>
        </w:rPr>
      </w:pPr>
      <w:r>
        <w:rPr>
          <w:rFonts w:ascii="宋体" w:eastAsia="宋体" w:hAnsi="宋体" w:cs="宋体"/>
          <w:noProof/>
          <w:color w:val="0000FF"/>
          <w:kern w:val="0"/>
          <w:sz w:val="24"/>
          <w:szCs w:val="24"/>
        </w:rPr>
        <w:drawing>
          <wp:inline distT="0" distB="0" distL="0" distR="0">
            <wp:extent cx="5274310" cy="3187034"/>
            <wp:effectExtent l="19050" t="0" r="2540" b="0"/>
            <wp:docPr id="1" name="图片 2" descr="2014欧洲全局物流骨干枢纽深度盘点">
              <a:hlinkClick xmlns:a="http://schemas.openxmlformats.org/drawingml/2006/main" r:id="rId7" tooltip="&quot;2014欧洲全局物流骨干枢纽深度盘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4欧洲全局物流骨干枢纽深度盘点">
                      <a:hlinkClick r:id="rId7" tooltip="&quot;2014欧洲全局物流骨干枢纽深度盘点&quot;"/>
                    </pic:cNvPr>
                    <pic:cNvPicPr>
                      <a:picLocks noChangeAspect="1" noChangeArrowheads="1"/>
                    </pic:cNvPicPr>
                  </pic:nvPicPr>
                  <pic:blipFill>
                    <a:blip r:embed="rId8"/>
                    <a:srcRect/>
                    <a:stretch>
                      <a:fillRect/>
                    </a:stretch>
                  </pic:blipFill>
                  <pic:spPr bwMode="auto">
                    <a:xfrm>
                      <a:off x="0" y="0"/>
                      <a:ext cx="5274310" cy="3187034"/>
                    </a:xfrm>
                    <a:prstGeom prst="rect">
                      <a:avLst/>
                    </a:prstGeom>
                    <a:noFill/>
                    <a:ln w="9525">
                      <a:noFill/>
                      <a:miter lim="800000"/>
                      <a:headEnd/>
                      <a:tailEnd/>
                    </a:ln>
                  </pic:spPr>
                </pic:pic>
              </a:graphicData>
            </a:graphic>
          </wp:inline>
        </w:drawing>
      </w:r>
      <w:r w:rsidRPr="00817977">
        <w:rPr>
          <w:rFonts w:ascii="宋体" w:eastAsia="宋体" w:hAnsi="宋体" w:cs="宋体"/>
          <w:b/>
          <w:bCs/>
          <w:kern w:val="0"/>
          <w:sz w:val="36"/>
          <w:szCs w:val="36"/>
        </w:rPr>
        <w:t>2014欧洲全局物流骨干枢纽深度盘点</w:t>
      </w:r>
    </w:p>
    <w:p w:rsidR="00817977" w:rsidRPr="00817977" w:rsidRDefault="00817977" w:rsidP="00817977">
      <w:pPr>
        <w:widowControl/>
        <w:spacing w:before="100" w:beforeAutospacing="1" w:after="204" w:line="360" w:lineRule="atLeast"/>
        <w:ind w:firstLineChars="200" w:firstLine="480"/>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2014 年中国的物流发展迎来巨大拐点，平台化的整合是趋势。一方面，随着国家对物流园区粗放式发展的控制，今年各地的物流园区开始紧张，寻找业务升级和转型，园 区整合成为主流趋势，但整体行业经营遇冷，目前全国700多个园区60%空置率，入住企业5%的利润率根本无法支撑投资回报；另一方面，电子商务的飞速发 展改变了传统的物流模式，零担物流和快递正在迎来高速发展的阶段，市场正在出现平台化整合运力资源的机遇…如何在转型之中找准自己的角色，如何从整体格局 中发现未来趋势，是物流行业从业人士正在面临的问题。汉森世纪供应链行业研究中心将2014欧洲骨干枢纽节点深入盘点，通过介绍欧洲物流格局的发展及创 新，解读欧洲的物流发展经验，希望可以为行业人士带来自身发展的借鉴。</w:t>
      </w:r>
    </w:p>
    <w:p w:rsidR="00817977" w:rsidRPr="00817977" w:rsidRDefault="00817977" w:rsidP="00817977">
      <w:pPr>
        <w:widowControl/>
        <w:spacing w:before="272" w:after="272" w:line="360" w:lineRule="atLeast"/>
        <w:jc w:val="left"/>
        <w:rPr>
          <w:rFonts w:ascii="宋体" w:eastAsia="宋体" w:hAnsi="宋体" w:cs="宋体"/>
          <w:kern w:val="0"/>
          <w:sz w:val="24"/>
          <w:szCs w:val="24"/>
        </w:rPr>
      </w:pPr>
      <w:r w:rsidRPr="00817977">
        <w:rPr>
          <w:rFonts w:ascii="微软雅黑" w:eastAsia="微软雅黑" w:hAnsi="微软雅黑" w:cs="宋体" w:hint="eastAsia"/>
          <w:b/>
          <w:bCs/>
          <w:color w:val="C00000"/>
          <w:kern w:val="0"/>
          <w:sz w:val="24"/>
          <w:szCs w:val="24"/>
        </w:rPr>
        <w:t>【欧洲物流格局简述】</w:t>
      </w:r>
    </w:p>
    <w:p w:rsidR="00817977" w:rsidRPr="00817977" w:rsidRDefault="00817977" w:rsidP="00817977">
      <w:pPr>
        <w:widowControl/>
        <w:spacing w:before="100" w:beforeAutospacing="1" w:after="204" w:line="360" w:lineRule="atLeast"/>
        <w:ind w:firstLineChars="200" w:firstLine="480"/>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lastRenderedPageBreak/>
        <w:t>截止2013年，随着欧盟的扩张，以及中东欧各国基础设施的不断发展和大众消费市场的增长，欧洲的物流格局正被重新定义。这些变化也进一步促使新货运航线的 开辟，同时，这又反过来影响欧洲的物流市场，导致新的工业和分销中心的出现。这些新兴分销中心与西欧发展成熟的中心进行竞争。当前欧洲物流格局有以下几个 特点：</w:t>
      </w:r>
    </w:p>
    <w:p w:rsidR="00817977" w:rsidRPr="00817977" w:rsidRDefault="00817977" w:rsidP="00817977">
      <w:pPr>
        <w:widowControl/>
        <w:numPr>
          <w:ilvl w:val="0"/>
          <w:numId w:val="1"/>
        </w:numPr>
        <w:spacing w:before="68" w:after="136"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“蓝色香蕉”区域仍然是为泛欧洲主要消费市场提供分销活动的理想平台。</w:t>
      </w:r>
    </w:p>
    <w:p w:rsidR="00817977" w:rsidRPr="00817977" w:rsidRDefault="00817977" w:rsidP="00817977">
      <w:pPr>
        <w:widowControl/>
        <w:numPr>
          <w:ilvl w:val="0"/>
          <w:numId w:val="1"/>
        </w:numPr>
        <w:spacing w:before="68" w:after="136"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一些分销中心，比如烈日和里尔，在市场规模与运营成本之间实现很好的平衡。</w:t>
      </w:r>
    </w:p>
    <w:p w:rsidR="00817977" w:rsidRPr="00817977" w:rsidRDefault="00817977" w:rsidP="00817977">
      <w:pPr>
        <w:widowControl/>
        <w:numPr>
          <w:ilvl w:val="0"/>
          <w:numId w:val="1"/>
        </w:numPr>
        <w:spacing w:before="68" w:after="136"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意大利北部的分销活动具有很好的增长潜力，尤其是亚得里亚海北部港口的货运量预期会增加。</w:t>
      </w:r>
    </w:p>
    <w:p w:rsidR="00817977" w:rsidRPr="00817977" w:rsidRDefault="00817977" w:rsidP="00817977">
      <w:pPr>
        <w:widowControl/>
        <w:numPr>
          <w:ilvl w:val="0"/>
          <w:numId w:val="1"/>
        </w:numPr>
        <w:spacing w:before="68" w:after="136"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从地理分布来看，西欧的霸主地位逐渐被东欧一些国家替代，如布拉格或布拉迪斯拉发，欧洲的物流中心逐渐向东转移。</w:t>
      </w:r>
    </w:p>
    <w:p w:rsidR="00817977" w:rsidRPr="00817977" w:rsidRDefault="00817977" w:rsidP="00817977">
      <w:pPr>
        <w:widowControl/>
        <w:numPr>
          <w:ilvl w:val="0"/>
          <w:numId w:val="1"/>
        </w:numPr>
        <w:spacing w:before="68" w:after="136"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东欧是低成本制造的最好位置，但它的地位优势仍然是本地的或者次区域性质的。</w:t>
      </w:r>
    </w:p>
    <w:p w:rsidR="00817977" w:rsidRPr="00817977" w:rsidRDefault="00817977" w:rsidP="00817977">
      <w:pPr>
        <w:widowControl/>
        <w:numPr>
          <w:ilvl w:val="0"/>
          <w:numId w:val="1"/>
        </w:numPr>
        <w:spacing w:before="68" w:after="136"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土耳其和俄罗斯的战略区位优势越加突出，如伊斯坦布尔和莫斯科，将越来越多地融入全球供应链当中，并且在欧洲联络远东与中东的贸易关系中发挥更加重要的作用。</w:t>
      </w:r>
    </w:p>
    <w:p w:rsidR="00817977" w:rsidRPr="00817977" w:rsidRDefault="00817977" w:rsidP="00817977">
      <w:pPr>
        <w:widowControl/>
        <w:numPr>
          <w:ilvl w:val="0"/>
          <w:numId w:val="1"/>
        </w:numPr>
        <w:spacing w:before="68" w:after="136"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南欧没有明显的竞争优势，但也进一步促使一些国家实施结构性改革。</w:t>
      </w:r>
    </w:p>
    <w:p w:rsidR="00817977" w:rsidRPr="00817977" w:rsidRDefault="00817977" w:rsidP="00817977">
      <w:pPr>
        <w:widowControl/>
        <w:spacing w:before="272" w:after="272" w:line="360" w:lineRule="atLeast"/>
        <w:jc w:val="left"/>
        <w:rPr>
          <w:rFonts w:ascii="宋体" w:eastAsia="宋体" w:hAnsi="宋体" w:cs="宋体"/>
          <w:kern w:val="0"/>
          <w:sz w:val="24"/>
          <w:szCs w:val="24"/>
        </w:rPr>
      </w:pPr>
      <w:r w:rsidRPr="00817977">
        <w:rPr>
          <w:rFonts w:ascii="微软雅黑" w:eastAsia="微软雅黑" w:hAnsi="微软雅黑" w:cs="宋体" w:hint="eastAsia"/>
          <w:b/>
          <w:bCs/>
          <w:color w:val="C00000"/>
          <w:kern w:val="0"/>
          <w:sz w:val="24"/>
          <w:szCs w:val="24"/>
        </w:rPr>
        <w:t>【欧洲各地区物流竞争力情况分析】</w:t>
      </w:r>
    </w:p>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b/>
          <w:bCs/>
          <w:kern w:val="0"/>
          <w:sz w:val="24"/>
          <w:szCs w:val="24"/>
        </w:rPr>
        <w:t>1．评价指标选取</w:t>
      </w:r>
    </w:p>
    <w:p w:rsidR="00817977" w:rsidRPr="00817977" w:rsidRDefault="00817977" w:rsidP="00817977">
      <w:pPr>
        <w:widowControl/>
        <w:spacing w:before="100" w:beforeAutospacing="1" w:after="204" w:line="360" w:lineRule="atLeast"/>
        <w:ind w:firstLineChars="200" w:firstLine="480"/>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lastRenderedPageBreak/>
        <w:t>为了尽可能客观准确地评价欧洲各地区的物流能力，本研究共选取六个评价指标，分别是：</w:t>
      </w:r>
    </w:p>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（1）基础设施。欧洲港口以及现有交通等物流基础设施状况。</w:t>
      </w:r>
    </w:p>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（2）市场规模。评估当地一定范围内的人口数量、GDP总值以及GDP预计增长量。</w:t>
      </w:r>
    </w:p>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（3）运营成本。包括比较劳动力成本，租金和土地价格成本。</w:t>
      </w:r>
    </w:p>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（4）劳动力市场。劳动力人口及失业人口的数量大小。</w:t>
      </w:r>
    </w:p>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（5）物流能力。专业化的员工队伍与物流指标。</w:t>
      </w:r>
    </w:p>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（6）商业环境。当地商业政策以及对投资的保护程度等。</w:t>
      </w:r>
    </w:p>
    <w:p w:rsidR="00817977" w:rsidRPr="00817977" w:rsidRDefault="00817977" w:rsidP="00817977">
      <w:pPr>
        <w:widowControl/>
        <w:spacing w:before="100" w:beforeAutospacing="1" w:after="204" w:line="360" w:lineRule="atLeast"/>
        <w:ind w:firstLineChars="200" w:firstLine="480"/>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根据以上六个指标，从三个方面分析欧洲各个城市的相对吸引力。三个方面分别是：综合竞争力，配送能力竞争力和制造业物流竞争力。由于每个方面所强调的重点不一样，因此对六个评价指标的分配权重也不同，权重分配情况如下表1所示。</w:t>
      </w:r>
    </w:p>
    <w:p w:rsidR="00817977" w:rsidRPr="00817977" w:rsidRDefault="00817977" w:rsidP="00817977">
      <w:pPr>
        <w:widowControl/>
        <w:spacing w:before="100" w:beforeAutospacing="1" w:after="204" w:line="360" w:lineRule="atLeast"/>
        <w:ind w:firstLineChars="200" w:firstLine="480"/>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对于分销活动频繁的公司，接近终端消费者，拥有能够支持准时交货的可靠而发达的基础设施网络尤其重要。因此在物流能力配送竞争力的指标权重选定中，市场规模 （45%）与基础设施（25%）占了很大比重。而成本通常被认为是制造业选址决策时的重要考虑因素，因此在制造业物流竞争力的评价过程中，运营</w:t>
      </w:r>
      <w:r w:rsidRPr="00817977">
        <w:rPr>
          <w:rFonts w:ascii="微软雅黑" w:eastAsia="微软雅黑" w:hAnsi="微软雅黑" w:cs="宋体" w:hint="eastAsia"/>
          <w:kern w:val="0"/>
          <w:sz w:val="24"/>
          <w:szCs w:val="24"/>
        </w:rPr>
        <w:lastRenderedPageBreak/>
        <w:t>成本 （45%）所占比重最大。</w:t>
      </w:r>
      <w:r w:rsidRPr="00817977">
        <w:rPr>
          <w:rFonts w:ascii="宋体" w:eastAsia="宋体" w:hAnsi="宋体" w:cs="宋体"/>
          <w:kern w:val="0"/>
          <w:sz w:val="24"/>
          <w:szCs w:val="24"/>
        </w:rPr>
        <w:br/>
      </w:r>
      <w:r w:rsidRPr="00817977">
        <w:rPr>
          <w:rFonts w:ascii="微软雅黑" w:eastAsia="微软雅黑" w:hAnsi="微软雅黑" w:cs="宋体" w:hint="eastAsia"/>
          <w:kern w:val="0"/>
          <w:sz w:val="24"/>
          <w:szCs w:val="24"/>
        </w:rPr>
        <w:t>                          表1 各评价指标所占权重比例</w:t>
      </w:r>
    </w:p>
    <w:tbl>
      <w:tblPr>
        <w:tblW w:w="735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63"/>
        <w:gridCol w:w="1036"/>
        <w:gridCol w:w="1036"/>
        <w:gridCol w:w="1036"/>
        <w:gridCol w:w="1192"/>
        <w:gridCol w:w="1036"/>
        <w:gridCol w:w="1051"/>
      </w:tblGrid>
      <w:tr w:rsidR="00817977" w:rsidRPr="00817977" w:rsidTr="00817977">
        <w:trPr>
          <w:tblCellSpacing w:w="15" w:type="dxa"/>
        </w:trPr>
        <w:tc>
          <w:tcPr>
            <w:tcW w:w="1170" w:type="dxa"/>
            <w:tcMar>
              <w:top w:w="0" w:type="dxa"/>
              <w:left w:w="95" w:type="dxa"/>
              <w:bottom w:w="0" w:type="dxa"/>
              <w:right w:w="95" w:type="dxa"/>
            </w:tcMar>
            <w:hideMark/>
          </w:tcPr>
          <w:p w:rsidR="00817977" w:rsidRPr="00817977" w:rsidRDefault="00817977" w:rsidP="00817977">
            <w:pPr>
              <w:widowControl/>
              <w:jc w:val="left"/>
              <w:rPr>
                <w:rFonts w:ascii="宋体" w:eastAsia="宋体" w:hAnsi="宋体" w:cs="宋体"/>
                <w:kern w:val="0"/>
                <w:sz w:val="24"/>
                <w:szCs w:val="24"/>
              </w:rPr>
            </w:pPr>
          </w:p>
        </w:tc>
        <w:tc>
          <w:tcPr>
            <w:tcW w:w="1170" w:type="dxa"/>
            <w:tcMar>
              <w:top w:w="0" w:type="dxa"/>
              <w:left w:w="95" w:type="dxa"/>
              <w:bottom w:w="0" w:type="dxa"/>
              <w:right w:w="95" w:type="dxa"/>
            </w:tcMa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基础设施</w:t>
            </w:r>
          </w:p>
        </w:tc>
        <w:tc>
          <w:tcPr>
            <w:tcW w:w="1170" w:type="dxa"/>
            <w:tcMar>
              <w:top w:w="0" w:type="dxa"/>
              <w:left w:w="95" w:type="dxa"/>
              <w:bottom w:w="0" w:type="dxa"/>
              <w:right w:w="95" w:type="dxa"/>
            </w:tcMa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市场规模</w:t>
            </w:r>
          </w:p>
        </w:tc>
        <w:tc>
          <w:tcPr>
            <w:tcW w:w="1170" w:type="dxa"/>
            <w:tcMar>
              <w:top w:w="0" w:type="dxa"/>
              <w:left w:w="95" w:type="dxa"/>
              <w:bottom w:w="0" w:type="dxa"/>
              <w:right w:w="95" w:type="dxa"/>
            </w:tcMa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运营成本</w:t>
            </w:r>
          </w:p>
        </w:tc>
        <w:tc>
          <w:tcPr>
            <w:tcW w:w="1410" w:type="dxa"/>
            <w:tcMar>
              <w:top w:w="0" w:type="dxa"/>
              <w:left w:w="95" w:type="dxa"/>
              <w:bottom w:w="0" w:type="dxa"/>
              <w:right w:w="95" w:type="dxa"/>
            </w:tcMa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劳动力市场</w:t>
            </w:r>
          </w:p>
        </w:tc>
        <w:tc>
          <w:tcPr>
            <w:tcW w:w="1170" w:type="dxa"/>
            <w:tcMar>
              <w:top w:w="0" w:type="dxa"/>
              <w:left w:w="95" w:type="dxa"/>
              <w:bottom w:w="0" w:type="dxa"/>
              <w:right w:w="95" w:type="dxa"/>
            </w:tcMa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物流能力</w:t>
            </w:r>
          </w:p>
        </w:tc>
        <w:tc>
          <w:tcPr>
            <w:tcW w:w="1170" w:type="dxa"/>
            <w:tcMar>
              <w:top w:w="0" w:type="dxa"/>
              <w:left w:w="95" w:type="dxa"/>
              <w:bottom w:w="0" w:type="dxa"/>
              <w:right w:w="95" w:type="dxa"/>
            </w:tcMa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商业环境</w:t>
            </w:r>
          </w:p>
        </w:tc>
      </w:tr>
      <w:tr w:rsidR="00817977" w:rsidRPr="00817977" w:rsidTr="00817977">
        <w:trPr>
          <w:tblCellSpacing w:w="15" w:type="dxa"/>
        </w:trPr>
        <w:tc>
          <w:tcPr>
            <w:tcW w:w="1170" w:type="dxa"/>
            <w:tcMar>
              <w:top w:w="0" w:type="dxa"/>
              <w:left w:w="95" w:type="dxa"/>
              <w:bottom w:w="0" w:type="dxa"/>
              <w:right w:w="95" w:type="dxa"/>
            </w:tcMa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综合能力</w:t>
            </w:r>
          </w:p>
        </w:tc>
        <w:tc>
          <w:tcPr>
            <w:tcW w:w="1170" w:type="dxa"/>
            <w:tcMar>
              <w:top w:w="0" w:type="dxa"/>
              <w:left w:w="95" w:type="dxa"/>
              <w:bottom w:w="0" w:type="dxa"/>
              <w:right w:w="95" w:type="dxa"/>
            </w:tcMa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20%</w:t>
            </w:r>
          </w:p>
        </w:tc>
        <w:tc>
          <w:tcPr>
            <w:tcW w:w="1170" w:type="dxa"/>
            <w:tcMar>
              <w:top w:w="0" w:type="dxa"/>
              <w:left w:w="95" w:type="dxa"/>
              <w:bottom w:w="0" w:type="dxa"/>
              <w:right w:w="95" w:type="dxa"/>
            </w:tcMa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20%</w:t>
            </w:r>
          </w:p>
        </w:tc>
        <w:tc>
          <w:tcPr>
            <w:tcW w:w="1170" w:type="dxa"/>
            <w:tcMar>
              <w:top w:w="0" w:type="dxa"/>
              <w:left w:w="95" w:type="dxa"/>
              <w:bottom w:w="0" w:type="dxa"/>
              <w:right w:w="95" w:type="dxa"/>
            </w:tcMa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20%</w:t>
            </w:r>
          </w:p>
        </w:tc>
        <w:tc>
          <w:tcPr>
            <w:tcW w:w="1410" w:type="dxa"/>
            <w:tcMar>
              <w:top w:w="0" w:type="dxa"/>
              <w:left w:w="95" w:type="dxa"/>
              <w:bottom w:w="0" w:type="dxa"/>
              <w:right w:w="95" w:type="dxa"/>
            </w:tcMa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15%</w:t>
            </w:r>
          </w:p>
        </w:tc>
        <w:tc>
          <w:tcPr>
            <w:tcW w:w="1170" w:type="dxa"/>
            <w:tcMar>
              <w:top w:w="0" w:type="dxa"/>
              <w:left w:w="95" w:type="dxa"/>
              <w:bottom w:w="0" w:type="dxa"/>
              <w:right w:w="95" w:type="dxa"/>
            </w:tcMa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15%</w:t>
            </w:r>
          </w:p>
        </w:tc>
        <w:tc>
          <w:tcPr>
            <w:tcW w:w="1170" w:type="dxa"/>
            <w:tcMar>
              <w:top w:w="0" w:type="dxa"/>
              <w:left w:w="95" w:type="dxa"/>
              <w:bottom w:w="0" w:type="dxa"/>
              <w:right w:w="95" w:type="dxa"/>
            </w:tcMa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10%</w:t>
            </w:r>
          </w:p>
        </w:tc>
      </w:tr>
      <w:tr w:rsidR="00817977" w:rsidRPr="00817977" w:rsidTr="00817977">
        <w:trPr>
          <w:tblCellSpacing w:w="15" w:type="dxa"/>
        </w:trPr>
        <w:tc>
          <w:tcPr>
            <w:tcW w:w="1170" w:type="dxa"/>
            <w:tcMar>
              <w:top w:w="0" w:type="dxa"/>
              <w:left w:w="95" w:type="dxa"/>
              <w:bottom w:w="0" w:type="dxa"/>
              <w:right w:w="95" w:type="dxa"/>
            </w:tcMa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配送能力</w:t>
            </w:r>
          </w:p>
        </w:tc>
        <w:tc>
          <w:tcPr>
            <w:tcW w:w="1170" w:type="dxa"/>
            <w:tcMar>
              <w:top w:w="0" w:type="dxa"/>
              <w:left w:w="95" w:type="dxa"/>
              <w:bottom w:w="0" w:type="dxa"/>
              <w:right w:w="95" w:type="dxa"/>
            </w:tcMa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25%</w:t>
            </w:r>
          </w:p>
        </w:tc>
        <w:tc>
          <w:tcPr>
            <w:tcW w:w="1170" w:type="dxa"/>
            <w:tcMar>
              <w:top w:w="0" w:type="dxa"/>
              <w:left w:w="95" w:type="dxa"/>
              <w:bottom w:w="0" w:type="dxa"/>
              <w:right w:w="95" w:type="dxa"/>
            </w:tcMa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45%</w:t>
            </w:r>
          </w:p>
        </w:tc>
        <w:tc>
          <w:tcPr>
            <w:tcW w:w="1170" w:type="dxa"/>
            <w:tcMar>
              <w:top w:w="0" w:type="dxa"/>
              <w:left w:w="95" w:type="dxa"/>
              <w:bottom w:w="0" w:type="dxa"/>
              <w:right w:w="95" w:type="dxa"/>
            </w:tcMa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15%</w:t>
            </w:r>
          </w:p>
        </w:tc>
        <w:tc>
          <w:tcPr>
            <w:tcW w:w="1410" w:type="dxa"/>
            <w:tcMar>
              <w:top w:w="0" w:type="dxa"/>
              <w:left w:w="95" w:type="dxa"/>
              <w:bottom w:w="0" w:type="dxa"/>
              <w:right w:w="95" w:type="dxa"/>
            </w:tcMa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5%</w:t>
            </w:r>
          </w:p>
        </w:tc>
        <w:tc>
          <w:tcPr>
            <w:tcW w:w="1170" w:type="dxa"/>
            <w:tcMar>
              <w:top w:w="0" w:type="dxa"/>
              <w:left w:w="95" w:type="dxa"/>
              <w:bottom w:w="0" w:type="dxa"/>
              <w:right w:w="95" w:type="dxa"/>
            </w:tcMa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5%</w:t>
            </w:r>
          </w:p>
        </w:tc>
        <w:tc>
          <w:tcPr>
            <w:tcW w:w="1170" w:type="dxa"/>
            <w:tcMar>
              <w:top w:w="0" w:type="dxa"/>
              <w:left w:w="95" w:type="dxa"/>
              <w:bottom w:w="0" w:type="dxa"/>
              <w:right w:w="95" w:type="dxa"/>
            </w:tcMa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5%</w:t>
            </w:r>
          </w:p>
        </w:tc>
      </w:tr>
      <w:tr w:rsidR="00817977" w:rsidRPr="00817977" w:rsidTr="00817977">
        <w:trPr>
          <w:tblCellSpacing w:w="15" w:type="dxa"/>
        </w:trPr>
        <w:tc>
          <w:tcPr>
            <w:tcW w:w="1170" w:type="dxa"/>
            <w:tcMar>
              <w:top w:w="0" w:type="dxa"/>
              <w:left w:w="95" w:type="dxa"/>
              <w:bottom w:w="0" w:type="dxa"/>
              <w:right w:w="95" w:type="dxa"/>
            </w:tcMa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制造业</w:t>
            </w:r>
          </w:p>
        </w:tc>
        <w:tc>
          <w:tcPr>
            <w:tcW w:w="1170" w:type="dxa"/>
            <w:tcMar>
              <w:top w:w="0" w:type="dxa"/>
              <w:left w:w="95" w:type="dxa"/>
              <w:bottom w:w="0" w:type="dxa"/>
              <w:right w:w="95" w:type="dxa"/>
            </w:tcMa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15%</w:t>
            </w:r>
          </w:p>
        </w:tc>
        <w:tc>
          <w:tcPr>
            <w:tcW w:w="1170" w:type="dxa"/>
            <w:tcMar>
              <w:top w:w="0" w:type="dxa"/>
              <w:left w:w="95" w:type="dxa"/>
              <w:bottom w:w="0" w:type="dxa"/>
              <w:right w:w="95" w:type="dxa"/>
            </w:tcMa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10%</w:t>
            </w:r>
          </w:p>
        </w:tc>
        <w:tc>
          <w:tcPr>
            <w:tcW w:w="1170" w:type="dxa"/>
            <w:tcMar>
              <w:top w:w="0" w:type="dxa"/>
              <w:left w:w="95" w:type="dxa"/>
              <w:bottom w:w="0" w:type="dxa"/>
              <w:right w:w="95" w:type="dxa"/>
            </w:tcMa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45%</w:t>
            </w:r>
          </w:p>
        </w:tc>
        <w:tc>
          <w:tcPr>
            <w:tcW w:w="1410" w:type="dxa"/>
            <w:tcMar>
              <w:top w:w="0" w:type="dxa"/>
              <w:left w:w="95" w:type="dxa"/>
              <w:bottom w:w="0" w:type="dxa"/>
              <w:right w:w="95" w:type="dxa"/>
            </w:tcMa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15%</w:t>
            </w:r>
          </w:p>
        </w:tc>
        <w:tc>
          <w:tcPr>
            <w:tcW w:w="1170" w:type="dxa"/>
            <w:tcMar>
              <w:top w:w="0" w:type="dxa"/>
              <w:left w:w="95" w:type="dxa"/>
              <w:bottom w:w="0" w:type="dxa"/>
              <w:right w:w="95" w:type="dxa"/>
            </w:tcMa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5%</w:t>
            </w:r>
          </w:p>
        </w:tc>
        <w:tc>
          <w:tcPr>
            <w:tcW w:w="1170" w:type="dxa"/>
            <w:tcMar>
              <w:top w:w="0" w:type="dxa"/>
              <w:left w:w="95" w:type="dxa"/>
              <w:bottom w:w="0" w:type="dxa"/>
              <w:right w:w="95" w:type="dxa"/>
            </w:tcMa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10%</w:t>
            </w:r>
          </w:p>
        </w:tc>
      </w:tr>
    </w:tbl>
    <w:p w:rsidR="00817977" w:rsidRPr="00817977" w:rsidRDefault="00817977" w:rsidP="00817977">
      <w:pPr>
        <w:widowControl/>
        <w:spacing w:before="100" w:beforeAutospacing="1" w:after="204"/>
        <w:jc w:val="left"/>
        <w:rPr>
          <w:rFonts w:ascii="宋体" w:eastAsia="宋体" w:hAnsi="宋体" w:cs="宋体"/>
          <w:kern w:val="0"/>
          <w:sz w:val="24"/>
          <w:szCs w:val="24"/>
        </w:rPr>
      </w:pPr>
      <w:r w:rsidRPr="00817977">
        <w:rPr>
          <w:rFonts w:ascii="微软雅黑" w:eastAsia="微软雅黑" w:hAnsi="微软雅黑" w:cs="宋体" w:hint="eastAsia"/>
          <w:b/>
          <w:bCs/>
          <w:kern w:val="0"/>
          <w:sz w:val="24"/>
          <w:szCs w:val="24"/>
        </w:rPr>
        <w:t>2 .各地区物流竞争力分析</w:t>
      </w:r>
    </w:p>
    <w:p w:rsidR="00817977" w:rsidRPr="00817977" w:rsidRDefault="00817977" w:rsidP="00817977">
      <w:pPr>
        <w:widowControl/>
        <w:spacing w:before="100" w:beforeAutospacing="1" w:after="204" w:line="360" w:lineRule="atLeast"/>
        <w:ind w:firstLineChars="200" w:firstLine="480"/>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表2列出了在以上六个指标以及不同权重的评价体系下欧洲各地区分别在综合物流能力、配送物流能力以及制造业物流能力方面排名进入前20的城市。</w:t>
      </w:r>
    </w:p>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                           表2 欧洲物流能力前20强排名</w:t>
      </w:r>
    </w:p>
    <w:tbl>
      <w:tblPr>
        <w:tblW w:w="7350" w:type="dxa"/>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tblPr>
      <w:tblGrid>
        <w:gridCol w:w="1249"/>
        <w:gridCol w:w="1941"/>
        <w:gridCol w:w="1941"/>
        <w:gridCol w:w="2219"/>
      </w:tblGrid>
      <w:tr w:rsidR="00817977" w:rsidRPr="00817977" w:rsidTr="00817977">
        <w:trPr>
          <w:tblCellSpacing w:w="15" w:type="dxa"/>
        </w:trPr>
        <w:tc>
          <w:tcPr>
            <w:tcW w:w="8520" w:type="dxa"/>
            <w:gridSpan w:val="4"/>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欧洲物流能力前20强排名</w:t>
            </w:r>
          </w:p>
        </w:tc>
      </w:tr>
      <w:tr w:rsidR="00817977" w:rsidRPr="00817977" w:rsidTr="00817977">
        <w:trPr>
          <w:tblCellSpacing w:w="15" w:type="dxa"/>
        </w:trPr>
        <w:tc>
          <w:tcPr>
            <w:tcW w:w="1380"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城市排名</w:t>
            </w:r>
          </w:p>
        </w:tc>
        <w:tc>
          <w:tcPr>
            <w:tcW w:w="226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欧洲综合物流能力前20强排名</w:t>
            </w:r>
          </w:p>
        </w:tc>
        <w:tc>
          <w:tcPr>
            <w:tcW w:w="226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欧洲配送物流能力前20强排名</w:t>
            </w:r>
          </w:p>
        </w:tc>
        <w:tc>
          <w:tcPr>
            <w:tcW w:w="259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欧洲制造业物流能力前20强排名</w:t>
            </w:r>
          </w:p>
        </w:tc>
      </w:tr>
      <w:tr w:rsidR="00817977" w:rsidRPr="00817977" w:rsidTr="00817977">
        <w:trPr>
          <w:tblCellSpacing w:w="15" w:type="dxa"/>
        </w:trPr>
        <w:tc>
          <w:tcPr>
            <w:tcW w:w="1380"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lastRenderedPageBreak/>
              <w:t>1</w:t>
            </w:r>
          </w:p>
        </w:tc>
        <w:tc>
          <w:tcPr>
            <w:tcW w:w="226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杜塞尔多夫</w:t>
            </w:r>
          </w:p>
        </w:tc>
        <w:tc>
          <w:tcPr>
            <w:tcW w:w="226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安特卫普</w:t>
            </w:r>
          </w:p>
        </w:tc>
        <w:tc>
          <w:tcPr>
            <w:tcW w:w="259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基辅</w:t>
            </w:r>
          </w:p>
        </w:tc>
      </w:tr>
      <w:tr w:rsidR="00817977" w:rsidRPr="00817977" w:rsidTr="00817977">
        <w:trPr>
          <w:tblCellSpacing w:w="15" w:type="dxa"/>
        </w:trPr>
        <w:tc>
          <w:tcPr>
            <w:tcW w:w="1380"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2</w:t>
            </w:r>
          </w:p>
        </w:tc>
        <w:tc>
          <w:tcPr>
            <w:tcW w:w="226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安特卫普</w:t>
            </w:r>
          </w:p>
        </w:tc>
        <w:tc>
          <w:tcPr>
            <w:tcW w:w="226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鹿特丹</w:t>
            </w:r>
          </w:p>
        </w:tc>
        <w:tc>
          <w:tcPr>
            <w:tcW w:w="259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伊斯坦布尔</w:t>
            </w:r>
          </w:p>
        </w:tc>
      </w:tr>
      <w:tr w:rsidR="00817977" w:rsidRPr="00817977" w:rsidTr="00817977">
        <w:trPr>
          <w:tblCellSpacing w:w="15" w:type="dxa"/>
        </w:trPr>
        <w:tc>
          <w:tcPr>
            <w:tcW w:w="1380"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3</w:t>
            </w:r>
          </w:p>
        </w:tc>
        <w:tc>
          <w:tcPr>
            <w:tcW w:w="226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鹿特丹</w:t>
            </w:r>
          </w:p>
        </w:tc>
        <w:tc>
          <w:tcPr>
            <w:tcW w:w="226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杜塞尔多夫</w:t>
            </w:r>
          </w:p>
        </w:tc>
        <w:tc>
          <w:tcPr>
            <w:tcW w:w="259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布拉迪斯拉发</w:t>
            </w:r>
          </w:p>
        </w:tc>
      </w:tr>
      <w:tr w:rsidR="00817977" w:rsidRPr="00817977" w:rsidTr="00817977">
        <w:trPr>
          <w:tblCellSpacing w:w="15" w:type="dxa"/>
        </w:trPr>
        <w:tc>
          <w:tcPr>
            <w:tcW w:w="1380"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4</w:t>
            </w:r>
          </w:p>
        </w:tc>
        <w:tc>
          <w:tcPr>
            <w:tcW w:w="226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布鲁塞尔</w:t>
            </w:r>
          </w:p>
        </w:tc>
        <w:tc>
          <w:tcPr>
            <w:tcW w:w="226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布鲁塞尔</w:t>
            </w:r>
          </w:p>
        </w:tc>
        <w:tc>
          <w:tcPr>
            <w:tcW w:w="259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上西里西亚</w:t>
            </w:r>
          </w:p>
        </w:tc>
      </w:tr>
      <w:tr w:rsidR="00817977" w:rsidRPr="00817977" w:rsidTr="00817977">
        <w:trPr>
          <w:tblCellSpacing w:w="15" w:type="dxa"/>
        </w:trPr>
        <w:tc>
          <w:tcPr>
            <w:tcW w:w="1380"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5</w:t>
            </w:r>
          </w:p>
        </w:tc>
        <w:tc>
          <w:tcPr>
            <w:tcW w:w="226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汉堡</w:t>
            </w:r>
          </w:p>
        </w:tc>
        <w:tc>
          <w:tcPr>
            <w:tcW w:w="226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汉堡</w:t>
            </w:r>
          </w:p>
        </w:tc>
        <w:tc>
          <w:tcPr>
            <w:tcW w:w="259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索菲亚</w:t>
            </w:r>
          </w:p>
        </w:tc>
      </w:tr>
      <w:tr w:rsidR="00817977" w:rsidRPr="00817977" w:rsidTr="00817977">
        <w:trPr>
          <w:tblCellSpacing w:w="15" w:type="dxa"/>
        </w:trPr>
        <w:tc>
          <w:tcPr>
            <w:tcW w:w="1380"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6</w:t>
            </w:r>
          </w:p>
        </w:tc>
        <w:tc>
          <w:tcPr>
            <w:tcW w:w="226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芬洛</w:t>
            </w:r>
          </w:p>
        </w:tc>
        <w:tc>
          <w:tcPr>
            <w:tcW w:w="226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阿姆斯特丹</w:t>
            </w:r>
          </w:p>
        </w:tc>
        <w:tc>
          <w:tcPr>
            <w:tcW w:w="259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安特卫普</w:t>
            </w:r>
          </w:p>
        </w:tc>
      </w:tr>
      <w:tr w:rsidR="00817977" w:rsidRPr="00817977" w:rsidTr="00817977">
        <w:trPr>
          <w:tblCellSpacing w:w="15" w:type="dxa"/>
        </w:trPr>
        <w:tc>
          <w:tcPr>
            <w:tcW w:w="1380"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7</w:t>
            </w:r>
          </w:p>
        </w:tc>
        <w:tc>
          <w:tcPr>
            <w:tcW w:w="226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阿姆斯特丹</w:t>
            </w:r>
          </w:p>
        </w:tc>
        <w:tc>
          <w:tcPr>
            <w:tcW w:w="226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烈日</w:t>
            </w:r>
          </w:p>
        </w:tc>
        <w:tc>
          <w:tcPr>
            <w:tcW w:w="259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里尔</w:t>
            </w:r>
          </w:p>
        </w:tc>
      </w:tr>
      <w:tr w:rsidR="00817977" w:rsidRPr="00817977" w:rsidTr="00817977">
        <w:trPr>
          <w:tblCellSpacing w:w="15" w:type="dxa"/>
        </w:trPr>
        <w:tc>
          <w:tcPr>
            <w:tcW w:w="1380"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8</w:t>
            </w:r>
          </w:p>
        </w:tc>
        <w:tc>
          <w:tcPr>
            <w:tcW w:w="226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里尔</w:t>
            </w:r>
          </w:p>
        </w:tc>
        <w:tc>
          <w:tcPr>
            <w:tcW w:w="226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芬洛</w:t>
            </w:r>
          </w:p>
        </w:tc>
        <w:tc>
          <w:tcPr>
            <w:tcW w:w="259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布达佩斯</w:t>
            </w:r>
          </w:p>
        </w:tc>
      </w:tr>
      <w:tr w:rsidR="00817977" w:rsidRPr="00817977" w:rsidTr="00817977">
        <w:trPr>
          <w:tblCellSpacing w:w="15" w:type="dxa"/>
        </w:trPr>
        <w:tc>
          <w:tcPr>
            <w:tcW w:w="1380"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9</w:t>
            </w:r>
          </w:p>
        </w:tc>
        <w:tc>
          <w:tcPr>
            <w:tcW w:w="226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巴黎</w:t>
            </w:r>
          </w:p>
        </w:tc>
        <w:tc>
          <w:tcPr>
            <w:tcW w:w="226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里尔</w:t>
            </w:r>
          </w:p>
        </w:tc>
        <w:tc>
          <w:tcPr>
            <w:tcW w:w="259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杜塞尔多夫</w:t>
            </w:r>
          </w:p>
        </w:tc>
      </w:tr>
      <w:tr w:rsidR="00817977" w:rsidRPr="00817977" w:rsidTr="00817977">
        <w:trPr>
          <w:tblCellSpacing w:w="15" w:type="dxa"/>
        </w:trPr>
        <w:tc>
          <w:tcPr>
            <w:tcW w:w="1380"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10</w:t>
            </w:r>
          </w:p>
        </w:tc>
        <w:tc>
          <w:tcPr>
            <w:tcW w:w="226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烈日</w:t>
            </w:r>
          </w:p>
        </w:tc>
        <w:tc>
          <w:tcPr>
            <w:tcW w:w="226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法兰克福</w:t>
            </w:r>
          </w:p>
        </w:tc>
        <w:tc>
          <w:tcPr>
            <w:tcW w:w="259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布拉格</w:t>
            </w:r>
          </w:p>
        </w:tc>
      </w:tr>
      <w:tr w:rsidR="00817977" w:rsidRPr="00817977" w:rsidTr="00817977">
        <w:trPr>
          <w:tblCellSpacing w:w="15" w:type="dxa"/>
        </w:trPr>
        <w:tc>
          <w:tcPr>
            <w:tcW w:w="1380"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11</w:t>
            </w:r>
          </w:p>
        </w:tc>
        <w:tc>
          <w:tcPr>
            <w:tcW w:w="226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伊斯坦布尔</w:t>
            </w:r>
          </w:p>
        </w:tc>
        <w:tc>
          <w:tcPr>
            <w:tcW w:w="226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巴黎</w:t>
            </w:r>
          </w:p>
        </w:tc>
        <w:tc>
          <w:tcPr>
            <w:tcW w:w="259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芬洛</w:t>
            </w:r>
          </w:p>
        </w:tc>
      </w:tr>
      <w:tr w:rsidR="00817977" w:rsidRPr="00817977" w:rsidTr="00817977">
        <w:trPr>
          <w:tblCellSpacing w:w="15" w:type="dxa"/>
        </w:trPr>
        <w:tc>
          <w:tcPr>
            <w:tcW w:w="1380"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12</w:t>
            </w:r>
          </w:p>
        </w:tc>
        <w:tc>
          <w:tcPr>
            <w:tcW w:w="226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法兰克福</w:t>
            </w:r>
          </w:p>
        </w:tc>
        <w:tc>
          <w:tcPr>
            <w:tcW w:w="226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慕尼黑</w:t>
            </w:r>
          </w:p>
        </w:tc>
        <w:tc>
          <w:tcPr>
            <w:tcW w:w="259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伊兹密尔</w:t>
            </w:r>
          </w:p>
        </w:tc>
      </w:tr>
      <w:tr w:rsidR="00817977" w:rsidRPr="00817977" w:rsidTr="00817977">
        <w:trPr>
          <w:tblCellSpacing w:w="15" w:type="dxa"/>
        </w:trPr>
        <w:tc>
          <w:tcPr>
            <w:tcW w:w="1380"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13</w:t>
            </w:r>
          </w:p>
        </w:tc>
        <w:tc>
          <w:tcPr>
            <w:tcW w:w="226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米林</w:t>
            </w:r>
          </w:p>
        </w:tc>
        <w:tc>
          <w:tcPr>
            <w:tcW w:w="226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里昂</w:t>
            </w:r>
          </w:p>
        </w:tc>
        <w:tc>
          <w:tcPr>
            <w:tcW w:w="259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波兹南</w:t>
            </w:r>
          </w:p>
        </w:tc>
      </w:tr>
      <w:tr w:rsidR="00817977" w:rsidRPr="00817977" w:rsidTr="00817977">
        <w:trPr>
          <w:tblCellSpacing w:w="15" w:type="dxa"/>
        </w:trPr>
        <w:tc>
          <w:tcPr>
            <w:tcW w:w="1380"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14</w:t>
            </w:r>
          </w:p>
        </w:tc>
        <w:tc>
          <w:tcPr>
            <w:tcW w:w="226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布拉迪斯拉发</w:t>
            </w:r>
          </w:p>
        </w:tc>
        <w:tc>
          <w:tcPr>
            <w:tcW w:w="226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布拉格</w:t>
            </w:r>
          </w:p>
        </w:tc>
        <w:tc>
          <w:tcPr>
            <w:tcW w:w="259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烈日</w:t>
            </w:r>
          </w:p>
        </w:tc>
      </w:tr>
      <w:tr w:rsidR="00817977" w:rsidRPr="00817977" w:rsidTr="00817977">
        <w:trPr>
          <w:tblCellSpacing w:w="15" w:type="dxa"/>
        </w:trPr>
        <w:tc>
          <w:tcPr>
            <w:tcW w:w="1380"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15</w:t>
            </w:r>
          </w:p>
        </w:tc>
        <w:tc>
          <w:tcPr>
            <w:tcW w:w="226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布拉格</w:t>
            </w:r>
          </w:p>
        </w:tc>
        <w:tc>
          <w:tcPr>
            <w:tcW w:w="226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米兰</w:t>
            </w:r>
          </w:p>
        </w:tc>
        <w:tc>
          <w:tcPr>
            <w:tcW w:w="259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莫斯科</w:t>
            </w:r>
          </w:p>
        </w:tc>
      </w:tr>
      <w:tr w:rsidR="00817977" w:rsidRPr="00817977" w:rsidTr="00817977">
        <w:trPr>
          <w:tblCellSpacing w:w="15" w:type="dxa"/>
        </w:trPr>
        <w:tc>
          <w:tcPr>
            <w:tcW w:w="1380"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lastRenderedPageBreak/>
              <w:t>16</w:t>
            </w:r>
          </w:p>
        </w:tc>
        <w:tc>
          <w:tcPr>
            <w:tcW w:w="226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慕尼黑</w:t>
            </w:r>
          </w:p>
        </w:tc>
        <w:tc>
          <w:tcPr>
            <w:tcW w:w="226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勒阿弗尔</w:t>
            </w:r>
          </w:p>
        </w:tc>
        <w:tc>
          <w:tcPr>
            <w:tcW w:w="259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布加勒斯特</w:t>
            </w:r>
          </w:p>
        </w:tc>
      </w:tr>
      <w:tr w:rsidR="00817977" w:rsidRPr="00817977" w:rsidTr="00817977">
        <w:trPr>
          <w:tblCellSpacing w:w="15" w:type="dxa"/>
        </w:trPr>
        <w:tc>
          <w:tcPr>
            <w:tcW w:w="1380"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17</w:t>
            </w:r>
          </w:p>
        </w:tc>
        <w:tc>
          <w:tcPr>
            <w:tcW w:w="226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里昂</w:t>
            </w:r>
          </w:p>
        </w:tc>
        <w:tc>
          <w:tcPr>
            <w:tcW w:w="226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布拉迪斯拉发</w:t>
            </w:r>
          </w:p>
        </w:tc>
        <w:tc>
          <w:tcPr>
            <w:tcW w:w="259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布鲁塞尔</w:t>
            </w:r>
          </w:p>
        </w:tc>
      </w:tr>
      <w:tr w:rsidR="00817977" w:rsidRPr="00817977" w:rsidTr="00817977">
        <w:trPr>
          <w:tblCellSpacing w:w="15" w:type="dxa"/>
        </w:trPr>
        <w:tc>
          <w:tcPr>
            <w:tcW w:w="1380"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18</w:t>
            </w:r>
          </w:p>
        </w:tc>
        <w:tc>
          <w:tcPr>
            <w:tcW w:w="226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上西里西亚</w:t>
            </w:r>
          </w:p>
        </w:tc>
        <w:tc>
          <w:tcPr>
            <w:tcW w:w="226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里耶卡/科佩尔</w:t>
            </w:r>
          </w:p>
        </w:tc>
        <w:tc>
          <w:tcPr>
            <w:tcW w:w="259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汉堡</w:t>
            </w:r>
          </w:p>
        </w:tc>
      </w:tr>
      <w:tr w:rsidR="00817977" w:rsidRPr="00817977" w:rsidTr="00817977">
        <w:trPr>
          <w:tblCellSpacing w:w="15" w:type="dxa"/>
        </w:trPr>
        <w:tc>
          <w:tcPr>
            <w:tcW w:w="1380"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19</w:t>
            </w:r>
          </w:p>
        </w:tc>
        <w:tc>
          <w:tcPr>
            <w:tcW w:w="226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布达佩斯</w:t>
            </w:r>
          </w:p>
        </w:tc>
        <w:tc>
          <w:tcPr>
            <w:tcW w:w="226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博洛尼亚</w:t>
            </w:r>
          </w:p>
        </w:tc>
        <w:tc>
          <w:tcPr>
            <w:tcW w:w="259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贝尔格莱德</w:t>
            </w:r>
          </w:p>
        </w:tc>
      </w:tr>
      <w:tr w:rsidR="00817977" w:rsidRPr="00817977" w:rsidTr="00817977">
        <w:trPr>
          <w:tblCellSpacing w:w="15" w:type="dxa"/>
        </w:trPr>
        <w:tc>
          <w:tcPr>
            <w:tcW w:w="1380"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20</w:t>
            </w:r>
          </w:p>
        </w:tc>
        <w:tc>
          <w:tcPr>
            <w:tcW w:w="226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巴塞罗那</w:t>
            </w:r>
          </w:p>
        </w:tc>
        <w:tc>
          <w:tcPr>
            <w:tcW w:w="226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伊斯坦布尔</w:t>
            </w:r>
          </w:p>
        </w:tc>
        <w:tc>
          <w:tcPr>
            <w:tcW w:w="2595" w:type="dxa"/>
            <w:tcMar>
              <w:top w:w="0" w:type="dxa"/>
              <w:left w:w="95" w:type="dxa"/>
              <w:bottom w:w="0" w:type="dxa"/>
              <w:right w:w="95" w:type="dxa"/>
            </w:tcMar>
            <w:vAlign w:val="center"/>
            <w:hideMark/>
          </w:tcPr>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华沙</w:t>
            </w:r>
          </w:p>
        </w:tc>
      </w:tr>
    </w:tbl>
    <w:p w:rsidR="00817977" w:rsidRPr="00817977" w:rsidRDefault="00817977" w:rsidP="00817977">
      <w:pPr>
        <w:widowControl/>
        <w:spacing w:before="100" w:beforeAutospacing="1" w:after="100" w:afterAutospacing="1"/>
        <w:jc w:val="left"/>
        <w:rPr>
          <w:rFonts w:ascii="宋体" w:eastAsia="宋体" w:hAnsi="宋体" w:cs="宋体"/>
          <w:kern w:val="0"/>
          <w:sz w:val="24"/>
          <w:szCs w:val="24"/>
        </w:rPr>
      </w:pPr>
      <w:r w:rsidRPr="00817977">
        <w:rPr>
          <w:rFonts w:ascii="宋体" w:eastAsia="宋体" w:hAnsi="宋体" w:cs="宋体"/>
          <w:kern w:val="0"/>
          <w:sz w:val="24"/>
          <w:szCs w:val="24"/>
        </w:rPr>
        <w:t> </w:t>
      </w:r>
    </w:p>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b/>
          <w:bCs/>
          <w:kern w:val="0"/>
          <w:sz w:val="24"/>
          <w:szCs w:val="24"/>
        </w:rPr>
        <w:t>（１）综合物流能力：北欧地区最优</w:t>
      </w:r>
    </w:p>
    <w:p w:rsidR="00817977" w:rsidRPr="00817977" w:rsidRDefault="00817977" w:rsidP="00817977">
      <w:pPr>
        <w:widowControl/>
        <w:spacing w:before="100" w:beforeAutospacing="1" w:after="204" w:line="360" w:lineRule="atLeast"/>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313680" cy="3813175"/>
            <wp:effectExtent l="19050" t="0" r="1270" b="0"/>
            <wp:docPr id="3" name="图片 3" descr="http://sc.101buy.com/uploads/image/20140828/1409214023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101buy.com/uploads/image/20140828/1409214023195.jpg"/>
                    <pic:cNvPicPr>
                      <a:picLocks noChangeAspect="1" noChangeArrowheads="1"/>
                    </pic:cNvPicPr>
                  </pic:nvPicPr>
                  <pic:blipFill>
                    <a:blip r:embed="rId9"/>
                    <a:srcRect/>
                    <a:stretch>
                      <a:fillRect/>
                    </a:stretch>
                  </pic:blipFill>
                  <pic:spPr bwMode="auto">
                    <a:xfrm>
                      <a:off x="0" y="0"/>
                      <a:ext cx="5313680" cy="3813175"/>
                    </a:xfrm>
                    <a:prstGeom prst="rect">
                      <a:avLst/>
                    </a:prstGeom>
                    <a:noFill/>
                    <a:ln w="9525">
                      <a:noFill/>
                      <a:miter lim="800000"/>
                      <a:headEnd/>
                      <a:tailEnd/>
                    </a:ln>
                  </pic:spPr>
                </pic:pic>
              </a:graphicData>
            </a:graphic>
          </wp:inline>
        </w:drawing>
      </w:r>
    </w:p>
    <w:p w:rsidR="00817977" w:rsidRPr="00817977" w:rsidRDefault="00817977" w:rsidP="00817977">
      <w:pPr>
        <w:widowControl/>
        <w:spacing w:before="100" w:beforeAutospacing="1" w:after="204" w:line="360" w:lineRule="atLeast"/>
        <w:jc w:val="center"/>
        <w:rPr>
          <w:rFonts w:ascii="宋体" w:eastAsia="宋体" w:hAnsi="宋体" w:cs="宋体"/>
          <w:kern w:val="0"/>
          <w:sz w:val="24"/>
          <w:szCs w:val="24"/>
        </w:rPr>
      </w:pPr>
      <w:r w:rsidRPr="00817977">
        <w:rPr>
          <w:rFonts w:ascii="微软雅黑" w:eastAsia="微软雅黑" w:hAnsi="微软雅黑" w:cs="宋体" w:hint="eastAsia"/>
          <w:kern w:val="0"/>
          <w:sz w:val="24"/>
          <w:szCs w:val="24"/>
        </w:rPr>
        <w:t>图1 阿姆斯特丹港</w:t>
      </w:r>
    </w:p>
    <w:p w:rsidR="00817977" w:rsidRPr="00817977" w:rsidRDefault="00817977" w:rsidP="00817977">
      <w:pPr>
        <w:widowControl/>
        <w:spacing w:before="100" w:beforeAutospacing="1" w:after="204" w:line="360" w:lineRule="atLeast"/>
        <w:ind w:firstLineChars="200" w:firstLine="480"/>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lastRenderedPageBreak/>
        <w:t>北欧在传统的物流枢纽方面是无可争议的赢家。杜塞尔多夫排名第一，排名前十的城市中几乎全部来自比利时与荷兰。纵观这些城市，它们明显比欧洲其它地区处理更 多集装箱。虽然这些城市在运营成本方面得分偏低，但他们普遍拥有完善的基础设施，良好的商业环境与发达的物流市场。它们也受益于靠近欧洲主要港口、机场以 及最大的消费市场，同时还拥有庞大而熟练的劳动力市场。</w:t>
      </w:r>
    </w:p>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b/>
          <w:bCs/>
          <w:kern w:val="0"/>
          <w:sz w:val="24"/>
          <w:szCs w:val="24"/>
        </w:rPr>
        <w:t>（２）配送物流能力：“蓝色香蕉”区域占主导地位</w:t>
      </w:r>
    </w:p>
    <w:p w:rsidR="00817977" w:rsidRPr="00817977" w:rsidRDefault="00817977" w:rsidP="00817977">
      <w:pPr>
        <w:widowControl/>
        <w:spacing w:before="100" w:beforeAutospacing="1" w:after="204" w:line="360" w:lineRule="atLeast"/>
        <w:jc w:val="center"/>
        <w:rPr>
          <w:rFonts w:ascii="宋体" w:eastAsia="宋体" w:hAnsi="宋体" w:cs="宋体"/>
          <w:kern w:val="0"/>
          <w:sz w:val="24"/>
          <w:szCs w:val="24"/>
        </w:rPr>
      </w:pPr>
      <w:r w:rsidRPr="00817977">
        <w:rPr>
          <w:rFonts w:ascii="微软雅黑" w:eastAsia="微软雅黑" w:hAnsi="微软雅黑" w:cs="宋体" w:hint="eastAsia"/>
          <w:kern w:val="0"/>
          <w:sz w:val="24"/>
          <w:szCs w:val="24"/>
        </w:rPr>
        <w:t> </w:t>
      </w:r>
      <w:r>
        <w:rPr>
          <w:rFonts w:ascii="宋体" w:eastAsia="宋体" w:hAnsi="宋体" w:cs="宋体"/>
          <w:noProof/>
          <w:kern w:val="0"/>
          <w:sz w:val="24"/>
          <w:szCs w:val="24"/>
        </w:rPr>
        <w:drawing>
          <wp:inline distT="0" distB="0" distL="0" distR="0">
            <wp:extent cx="5313680" cy="4382135"/>
            <wp:effectExtent l="19050" t="0" r="1270" b="0"/>
            <wp:docPr id="4" name="图片 4" descr="http://sc.101buy.com/uploads/image/20140731/14067881886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101buy.com/uploads/image/20140731/14067881886622.jpg"/>
                    <pic:cNvPicPr>
                      <a:picLocks noChangeAspect="1" noChangeArrowheads="1"/>
                    </pic:cNvPicPr>
                  </pic:nvPicPr>
                  <pic:blipFill>
                    <a:blip r:embed="rId10"/>
                    <a:srcRect/>
                    <a:stretch>
                      <a:fillRect/>
                    </a:stretch>
                  </pic:blipFill>
                  <pic:spPr bwMode="auto">
                    <a:xfrm>
                      <a:off x="0" y="0"/>
                      <a:ext cx="5313680" cy="4382135"/>
                    </a:xfrm>
                    <a:prstGeom prst="rect">
                      <a:avLst/>
                    </a:prstGeom>
                    <a:noFill/>
                    <a:ln w="9525">
                      <a:noFill/>
                      <a:miter lim="800000"/>
                      <a:headEnd/>
                      <a:tailEnd/>
                    </a:ln>
                  </pic:spPr>
                </pic:pic>
              </a:graphicData>
            </a:graphic>
          </wp:inline>
        </w:drawing>
      </w:r>
    </w:p>
    <w:p w:rsidR="00817977" w:rsidRPr="00817977" w:rsidRDefault="00817977" w:rsidP="00817977">
      <w:pPr>
        <w:widowControl/>
        <w:spacing w:before="100" w:beforeAutospacing="1" w:after="204" w:line="360" w:lineRule="atLeast"/>
        <w:jc w:val="center"/>
        <w:rPr>
          <w:rFonts w:ascii="宋体" w:eastAsia="宋体" w:hAnsi="宋体" w:cs="宋体"/>
          <w:kern w:val="0"/>
          <w:sz w:val="24"/>
          <w:szCs w:val="24"/>
        </w:rPr>
      </w:pPr>
      <w:r w:rsidRPr="00817977">
        <w:rPr>
          <w:rFonts w:ascii="微软雅黑" w:eastAsia="微软雅黑" w:hAnsi="微软雅黑" w:cs="宋体" w:hint="eastAsia"/>
          <w:kern w:val="0"/>
          <w:sz w:val="24"/>
          <w:szCs w:val="24"/>
        </w:rPr>
        <w:t>图2 “蓝色香蕉”区域物流能力</w:t>
      </w:r>
    </w:p>
    <w:p w:rsidR="00817977" w:rsidRPr="00817977" w:rsidRDefault="00817977" w:rsidP="00817977">
      <w:pPr>
        <w:widowControl/>
        <w:spacing w:before="100" w:beforeAutospacing="1" w:after="204" w:line="360" w:lineRule="atLeast"/>
        <w:ind w:firstLineChars="200" w:firstLine="480"/>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lastRenderedPageBreak/>
        <w:t>在物流配送能力相对吸引力方面，“蓝色香蕉”区域城市占据了主导地位。安特卫普位居首位，紧随其后的是鹿特丹，布鲁塞尔，杜塞尔多夫和汉堡。第一个非比利时 - 荷兰 - 德国的城市是位列第9位的里尔。</w:t>
      </w:r>
    </w:p>
    <w:p w:rsidR="00817977" w:rsidRPr="00817977" w:rsidRDefault="00817977" w:rsidP="00817977">
      <w:pPr>
        <w:widowControl/>
        <w:spacing w:before="100" w:beforeAutospacing="1" w:after="204" w:line="360" w:lineRule="atLeast"/>
        <w:ind w:firstLineChars="200" w:firstLine="480"/>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作为欧洲人口最稠密与经济最发达的地区，它是那些寻求以尽可能快速精准地将货品送达最大人群的企业的必选之地。比如从安特卫普，通过货车能在9小时（欧盟法 定最大一次性开车时长）内覆盖1.43亿人口。这个数字如果从烈日出发变为1.53亿，从杜塞尔多夫出发变为1.63亿，从法兰克福出发变为1.90亿。 这个规模相当于英国人口的3倍。所覆盖区域的GDP总值高达6万亿欧元，相当于法国GDP总值的3倍。</w:t>
      </w:r>
    </w:p>
    <w:p w:rsidR="00817977" w:rsidRPr="00817977" w:rsidRDefault="00817977" w:rsidP="00817977">
      <w:pPr>
        <w:widowControl/>
        <w:spacing w:before="100" w:beforeAutospacing="1" w:after="204" w:line="360" w:lineRule="atLeast"/>
        <w:jc w:val="left"/>
        <w:rPr>
          <w:rFonts w:ascii="宋体" w:eastAsia="宋体" w:hAnsi="宋体" w:cs="宋体"/>
          <w:kern w:val="0"/>
          <w:sz w:val="24"/>
          <w:szCs w:val="24"/>
        </w:rPr>
      </w:pPr>
      <w:r w:rsidRPr="00817977">
        <w:rPr>
          <w:rFonts w:ascii="微软雅黑" w:eastAsia="微软雅黑" w:hAnsi="微软雅黑" w:cs="宋体" w:hint="eastAsia"/>
          <w:b/>
          <w:bCs/>
          <w:kern w:val="0"/>
          <w:sz w:val="24"/>
          <w:szCs w:val="24"/>
        </w:rPr>
        <w:t>（３）制造业物流能力：东欧优势明显</w:t>
      </w:r>
    </w:p>
    <w:p w:rsidR="00817977" w:rsidRPr="00817977" w:rsidRDefault="00817977" w:rsidP="00817977">
      <w:pPr>
        <w:widowControl/>
        <w:spacing w:before="100" w:beforeAutospacing="1" w:after="204" w:line="360" w:lineRule="atLeast"/>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313680" cy="2855595"/>
            <wp:effectExtent l="19050" t="0" r="1270" b="0"/>
            <wp:docPr id="5" name="图片 5" descr="http://sc.101buy.com/uploads/image/20140731/14067882308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101buy.com/uploads/image/20140731/14067882308709.jpg"/>
                    <pic:cNvPicPr>
                      <a:picLocks noChangeAspect="1" noChangeArrowheads="1"/>
                    </pic:cNvPicPr>
                  </pic:nvPicPr>
                  <pic:blipFill>
                    <a:blip r:embed="rId11"/>
                    <a:srcRect/>
                    <a:stretch>
                      <a:fillRect/>
                    </a:stretch>
                  </pic:blipFill>
                  <pic:spPr bwMode="auto">
                    <a:xfrm>
                      <a:off x="0" y="0"/>
                      <a:ext cx="5313680" cy="2855595"/>
                    </a:xfrm>
                    <a:prstGeom prst="rect">
                      <a:avLst/>
                    </a:prstGeom>
                    <a:noFill/>
                    <a:ln w="9525">
                      <a:noFill/>
                      <a:miter lim="800000"/>
                      <a:headEnd/>
                      <a:tailEnd/>
                    </a:ln>
                  </pic:spPr>
                </pic:pic>
              </a:graphicData>
            </a:graphic>
          </wp:inline>
        </w:drawing>
      </w:r>
    </w:p>
    <w:p w:rsidR="00817977" w:rsidRPr="00817977" w:rsidRDefault="00817977" w:rsidP="00817977">
      <w:pPr>
        <w:widowControl/>
        <w:spacing w:before="100" w:beforeAutospacing="1" w:after="204" w:line="360" w:lineRule="atLeast"/>
        <w:jc w:val="center"/>
        <w:rPr>
          <w:rFonts w:ascii="宋体" w:eastAsia="宋体" w:hAnsi="宋体" w:cs="宋体"/>
          <w:kern w:val="0"/>
          <w:sz w:val="24"/>
          <w:szCs w:val="24"/>
        </w:rPr>
      </w:pPr>
      <w:r w:rsidRPr="00817977">
        <w:rPr>
          <w:rFonts w:ascii="微软雅黑" w:eastAsia="微软雅黑" w:hAnsi="微软雅黑" w:cs="宋体" w:hint="eastAsia"/>
          <w:kern w:val="0"/>
          <w:sz w:val="24"/>
          <w:szCs w:val="24"/>
        </w:rPr>
        <w:t>图3欧洲各地区劳动力成本比较图</w:t>
      </w:r>
    </w:p>
    <w:p w:rsidR="00817977" w:rsidRPr="00817977" w:rsidRDefault="00817977" w:rsidP="00817977">
      <w:pPr>
        <w:widowControl/>
        <w:spacing w:before="100" w:beforeAutospacing="1" w:after="204" w:line="360" w:lineRule="atLeast"/>
        <w:ind w:firstLineChars="200" w:firstLine="480"/>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lastRenderedPageBreak/>
        <w:t>成本通常被认为是制造业选址决策时的重要考虑因素，制造业更倾向于劳力密集型。成本作为一个突出的因素容易从高成本国家转移到低成本地区。</w:t>
      </w:r>
    </w:p>
    <w:p w:rsidR="00817977" w:rsidRPr="00817977" w:rsidRDefault="00817977" w:rsidP="00817977">
      <w:pPr>
        <w:widowControl/>
        <w:spacing w:before="100" w:beforeAutospacing="1" w:after="204" w:line="360" w:lineRule="atLeast"/>
        <w:ind w:firstLineChars="200" w:firstLine="480"/>
        <w:jc w:val="left"/>
        <w:rPr>
          <w:rFonts w:ascii="宋体" w:eastAsia="宋体" w:hAnsi="宋体" w:cs="宋体"/>
          <w:kern w:val="0"/>
          <w:sz w:val="24"/>
          <w:szCs w:val="24"/>
        </w:rPr>
      </w:pPr>
      <w:r w:rsidRPr="00817977">
        <w:rPr>
          <w:rFonts w:ascii="微软雅黑" w:eastAsia="微软雅黑" w:hAnsi="微软雅黑" w:cs="宋体" w:hint="eastAsia"/>
          <w:kern w:val="0"/>
          <w:sz w:val="24"/>
          <w:szCs w:val="24"/>
        </w:rPr>
        <w:t>在制造业物流竞争力排名中，得分较高的国家主要是中东欧和东欧周边地区（如乌克兰），只有六个西欧城市排名进入前20，它们依次是：安特卫普（第6），里尔 （第7），杜塞尔多夫（第9），芬洛（第11），列日（第14），布鲁塞尔（第17）。基辅排名首位，其次是伊斯坦布尔，布拉迪斯拉发，上西里西亚（卡托 维兹）和索菲亚。基辅的竞争优势主要在于其低廉的劳动力，它的工业用地也是在所研究的40个城市中最便宜的一个。</w:t>
      </w:r>
    </w:p>
    <w:p w:rsidR="009E666C" w:rsidRPr="00817977" w:rsidRDefault="00817977" w:rsidP="00817977">
      <w:pPr>
        <w:jc w:val="right"/>
        <w:rPr>
          <w:rFonts w:ascii="微软雅黑" w:eastAsia="微软雅黑" w:hAnsi="微软雅黑" w:cs="宋体"/>
          <w:kern w:val="0"/>
          <w:sz w:val="24"/>
          <w:szCs w:val="24"/>
        </w:rPr>
      </w:pPr>
      <w:r w:rsidRPr="00817977">
        <w:rPr>
          <w:rFonts w:ascii="微软雅黑" w:eastAsia="微软雅黑" w:hAnsi="微软雅黑" w:cs="宋体" w:hint="eastAsia"/>
          <w:kern w:val="0"/>
          <w:sz w:val="24"/>
          <w:szCs w:val="24"/>
        </w:rPr>
        <w:t>（转自：汉森咨询）</w:t>
      </w:r>
    </w:p>
    <w:sectPr w:rsidR="009E666C" w:rsidRPr="008179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66C" w:rsidRDefault="009E666C" w:rsidP="00817977">
      <w:r>
        <w:separator/>
      </w:r>
    </w:p>
  </w:endnote>
  <w:endnote w:type="continuationSeparator" w:id="1">
    <w:p w:rsidR="009E666C" w:rsidRDefault="009E666C" w:rsidP="008179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66C" w:rsidRDefault="009E666C" w:rsidP="00817977">
      <w:r>
        <w:separator/>
      </w:r>
    </w:p>
  </w:footnote>
  <w:footnote w:type="continuationSeparator" w:id="1">
    <w:p w:rsidR="009E666C" w:rsidRDefault="009E666C" w:rsidP="008179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A3CC0"/>
    <w:multiLevelType w:val="multilevel"/>
    <w:tmpl w:val="8DCE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7977"/>
    <w:rsid w:val="00817977"/>
    <w:rsid w:val="009E6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1797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79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7977"/>
    <w:rPr>
      <w:sz w:val="18"/>
      <w:szCs w:val="18"/>
    </w:rPr>
  </w:style>
  <w:style w:type="paragraph" w:styleId="a4">
    <w:name w:val="footer"/>
    <w:basedOn w:val="a"/>
    <w:link w:val="Char0"/>
    <w:uiPriority w:val="99"/>
    <w:semiHidden/>
    <w:unhideWhenUsed/>
    <w:rsid w:val="008179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17977"/>
    <w:rPr>
      <w:sz w:val="18"/>
      <w:szCs w:val="18"/>
    </w:rPr>
  </w:style>
  <w:style w:type="character" w:customStyle="1" w:styleId="2Char">
    <w:name w:val="标题 2 Char"/>
    <w:basedOn w:val="a0"/>
    <w:link w:val="2"/>
    <w:uiPriority w:val="9"/>
    <w:rsid w:val="00817977"/>
    <w:rPr>
      <w:rFonts w:ascii="宋体" w:eastAsia="宋体" w:hAnsi="宋体" w:cs="宋体"/>
      <w:b/>
      <w:bCs/>
      <w:kern w:val="0"/>
      <w:sz w:val="36"/>
      <w:szCs w:val="36"/>
    </w:rPr>
  </w:style>
  <w:style w:type="paragraph" w:customStyle="1" w:styleId="post-meta">
    <w:name w:val="post-meta"/>
    <w:basedOn w:val="a"/>
    <w:rsid w:val="00817977"/>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817977"/>
    <w:rPr>
      <w:color w:val="0000FF"/>
      <w:u w:val="single"/>
    </w:rPr>
  </w:style>
  <w:style w:type="paragraph" w:styleId="a6">
    <w:name w:val="Normal (Web)"/>
    <w:basedOn w:val="a"/>
    <w:uiPriority w:val="99"/>
    <w:unhideWhenUsed/>
    <w:rsid w:val="00817977"/>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817977"/>
    <w:rPr>
      <w:b/>
      <w:bCs/>
    </w:rPr>
  </w:style>
  <w:style w:type="paragraph" w:styleId="a8">
    <w:name w:val="Balloon Text"/>
    <w:basedOn w:val="a"/>
    <w:link w:val="Char1"/>
    <w:uiPriority w:val="99"/>
    <w:semiHidden/>
    <w:unhideWhenUsed/>
    <w:rsid w:val="00817977"/>
    <w:rPr>
      <w:sz w:val="18"/>
      <w:szCs w:val="18"/>
    </w:rPr>
  </w:style>
  <w:style w:type="character" w:customStyle="1" w:styleId="Char1">
    <w:name w:val="批注框文本 Char"/>
    <w:basedOn w:val="a0"/>
    <w:link w:val="a8"/>
    <w:uiPriority w:val="99"/>
    <w:semiHidden/>
    <w:rsid w:val="00817977"/>
    <w:rPr>
      <w:sz w:val="18"/>
      <w:szCs w:val="18"/>
    </w:rPr>
  </w:style>
</w:styles>
</file>

<file path=word/webSettings.xml><?xml version="1.0" encoding="utf-8"?>
<w:webSettings xmlns:r="http://schemas.openxmlformats.org/officeDocument/2006/relationships" xmlns:w="http://schemas.openxmlformats.org/wordprocessingml/2006/main">
  <w:divs>
    <w:div w:id="230233923">
      <w:bodyDiv w:val="1"/>
      <w:marLeft w:val="0"/>
      <w:marRight w:val="0"/>
      <w:marTop w:val="0"/>
      <w:marBottom w:val="0"/>
      <w:divBdr>
        <w:top w:val="none" w:sz="0" w:space="0" w:color="auto"/>
        <w:left w:val="none" w:sz="0" w:space="0" w:color="auto"/>
        <w:bottom w:val="none" w:sz="0" w:space="0" w:color="auto"/>
        <w:right w:val="none" w:sz="0" w:space="0" w:color="auto"/>
      </w:divBdr>
      <w:divsChild>
        <w:div w:id="898247781">
          <w:marLeft w:val="0"/>
          <w:marRight w:val="0"/>
          <w:marTop w:val="0"/>
          <w:marBottom w:val="0"/>
          <w:divBdr>
            <w:top w:val="none" w:sz="0" w:space="0" w:color="auto"/>
            <w:left w:val="none" w:sz="0" w:space="0" w:color="auto"/>
            <w:bottom w:val="none" w:sz="0" w:space="0" w:color="auto"/>
            <w:right w:val="none" w:sz="0" w:space="0" w:color="auto"/>
          </w:divBdr>
          <w:divsChild>
            <w:div w:id="801995132">
              <w:marLeft w:val="0"/>
              <w:marRight w:val="0"/>
              <w:marTop w:val="0"/>
              <w:marBottom w:val="0"/>
              <w:divBdr>
                <w:top w:val="none" w:sz="0" w:space="0" w:color="auto"/>
                <w:left w:val="none" w:sz="0" w:space="0" w:color="auto"/>
                <w:bottom w:val="none" w:sz="0" w:space="0" w:color="auto"/>
                <w:right w:val="none" w:sz="0" w:space="0" w:color="auto"/>
              </w:divBdr>
              <w:divsChild>
                <w:div w:id="1608461106">
                  <w:marLeft w:val="0"/>
                  <w:marRight w:val="0"/>
                  <w:marTop w:val="0"/>
                  <w:marBottom w:val="0"/>
                  <w:divBdr>
                    <w:top w:val="none" w:sz="0" w:space="0" w:color="auto"/>
                    <w:left w:val="none" w:sz="0" w:space="0" w:color="auto"/>
                    <w:bottom w:val="none" w:sz="0" w:space="0" w:color="auto"/>
                    <w:right w:val="none" w:sz="0" w:space="0" w:color="auto"/>
                  </w:divBdr>
                  <w:divsChild>
                    <w:div w:id="138498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37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eadscm.com/uploads/image/20140731/55d9133206a7899d706d60156333e7d1.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2014-11-24T05:34:00Z</dcterms:created>
  <dcterms:modified xsi:type="dcterms:W3CDTF">2014-11-24T05:37:00Z</dcterms:modified>
</cp:coreProperties>
</file>